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D8" w:rsidRDefault="00C975D8" w:rsidP="00996247">
      <w:pPr>
        <w:rPr>
          <w:b/>
          <w:bCs/>
          <w:sz w:val="36"/>
          <w:szCs w:val="36"/>
          <w:lang w:val="en-US"/>
        </w:rPr>
      </w:pPr>
    </w:p>
    <w:p w:rsidR="00C975D8" w:rsidRDefault="00C975D8" w:rsidP="00996247">
      <w:pPr>
        <w:rPr>
          <w:b/>
          <w:bCs/>
          <w:sz w:val="36"/>
          <w:szCs w:val="36"/>
          <w:lang w:val="en-US"/>
        </w:rPr>
      </w:pPr>
    </w:p>
    <w:p w:rsidR="00C071FB" w:rsidRDefault="00FA5DFF" w:rsidP="008B33F6">
      <w:pPr>
        <w:spacing w:line="240" w:lineRule="auto"/>
        <w:rPr>
          <w:b/>
          <w:bCs/>
          <w:sz w:val="36"/>
          <w:szCs w:val="36"/>
          <w:lang w:val="en-US"/>
        </w:rPr>
      </w:pPr>
      <w:r>
        <w:rPr>
          <w:b/>
          <w:bCs/>
          <w:sz w:val="36"/>
          <w:szCs w:val="36"/>
          <w:lang w:val="en-US"/>
        </w:rPr>
        <w:t>S</w:t>
      </w:r>
      <w:r w:rsidR="00C071FB" w:rsidRPr="00C071FB">
        <w:rPr>
          <w:b/>
          <w:bCs/>
          <w:sz w:val="36"/>
          <w:szCs w:val="36"/>
          <w:lang w:val="en-US"/>
        </w:rPr>
        <w:t>upport to</w:t>
      </w:r>
      <w:r>
        <w:rPr>
          <w:b/>
          <w:bCs/>
          <w:sz w:val="36"/>
          <w:szCs w:val="36"/>
          <w:lang w:val="en-US"/>
        </w:rPr>
        <w:t xml:space="preserve"> the judiciary in Bosnia and Herzegovina – </w:t>
      </w:r>
      <w:r w:rsidRPr="000E48AA">
        <w:rPr>
          <w:b/>
          <w:bCs/>
          <w:i/>
          <w:iCs/>
          <w:sz w:val="36"/>
          <w:szCs w:val="36"/>
          <w:lang w:val="en-US"/>
        </w:rPr>
        <w:t>strengthening prosecutors in the criminal justice system</w:t>
      </w:r>
      <w:r>
        <w:rPr>
          <w:b/>
          <w:bCs/>
          <w:sz w:val="36"/>
          <w:szCs w:val="36"/>
          <w:lang w:val="en-US"/>
        </w:rPr>
        <w:t xml:space="preserve"> </w:t>
      </w:r>
      <w:r w:rsidRPr="0027171F">
        <w:rPr>
          <w:b/>
          <w:bCs/>
          <w:sz w:val="32"/>
          <w:szCs w:val="32"/>
          <w:lang w:val="en-US"/>
        </w:rPr>
        <w:t>(</w:t>
      </w:r>
      <w:r w:rsidR="003D36D6" w:rsidRPr="0027171F">
        <w:rPr>
          <w:b/>
          <w:bCs/>
          <w:sz w:val="32"/>
          <w:szCs w:val="32"/>
          <w:lang w:val="en-US"/>
        </w:rPr>
        <w:t xml:space="preserve">Joint funding from </w:t>
      </w:r>
      <w:r w:rsidRPr="0027171F">
        <w:rPr>
          <w:b/>
          <w:bCs/>
          <w:sz w:val="32"/>
          <w:szCs w:val="32"/>
          <w:lang w:val="en-US"/>
        </w:rPr>
        <w:t>Norway and Switzerland)</w:t>
      </w:r>
    </w:p>
    <w:p w:rsidR="003C0A64" w:rsidRPr="00147336" w:rsidRDefault="00996247" w:rsidP="008B33F6">
      <w:pPr>
        <w:spacing w:line="240" w:lineRule="auto"/>
        <w:rPr>
          <w:lang w:val="en-US"/>
        </w:rPr>
      </w:pPr>
      <w:r>
        <w:rPr>
          <w:lang w:val="en-US"/>
        </w:rPr>
        <w:t xml:space="preserve">Total funding: NOK </w:t>
      </w:r>
      <w:r w:rsidR="00FA5DFF">
        <w:rPr>
          <w:lang w:val="en-US"/>
        </w:rPr>
        <w:t>36</w:t>
      </w:r>
      <w:r w:rsidR="00C8432D">
        <w:rPr>
          <w:lang w:val="en-US"/>
        </w:rPr>
        <w:t xml:space="preserve"> million (approximately € 3 </w:t>
      </w:r>
      <w:r w:rsidR="00147336">
        <w:rPr>
          <w:lang w:val="en-US"/>
        </w:rPr>
        <w:t>976</w:t>
      </w:r>
      <w:r w:rsidR="00C8432D">
        <w:rPr>
          <w:lang w:val="en-US"/>
        </w:rPr>
        <w:t xml:space="preserve"> </w:t>
      </w:r>
      <w:r w:rsidR="00147336">
        <w:rPr>
          <w:lang w:val="en-US"/>
        </w:rPr>
        <w:t>875)</w:t>
      </w:r>
    </w:p>
    <w:p w:rsidR="00996247" w:rsidRDefault="00FA5DFF" w:rsidP="008B33F6">
      <w:pPr>
        <w:spacing w:line="240" w:lineRule="auto"/>
        <w:rPr>
          <w:lang w:val="en-US"/>
        </w:rPr>
      </w:pPr>
      <w:r>
        <w:rPr>
          <w:lang w:val="en-US"/>
        </w:rPr>
        <w:t>Start date: December 2014</w:t>
      </w:r>
    </w:p>
    <w:p w:rsidR="00996247" w:rsidRDefault="00996247" w:rsidP="008B33F6">
      <w:pPr>
        <w:spacing w:line="240" w:lineRule="auto"/>
        <w:rPr>
          <w:lang w:val="en-US"/>
        </w:rPr>
      </w:pPr>
      <w:r>
        <w:rPr>
          <w:lang w:val="en-US"/>
        </w:rPr>
        <w:t xml:space="preserve">End </w:t>
      </w:r>
      <w:r w:rsidR="00FA5DFF">
        <w:rPr>
          <w:lang w:val="en-US"/>
        </w:rPr>
        <w:t>date: December 2018</w:t>
      </w:r>
    </w:p>
    <w:p w:rsidR="008B33F6" w:rsidRDefault="00996247" w:rsidP="00F505A7">
      <w:pPr>
        <w:spacing w:after="0" w:line="240" w:lineRule="auto"/>
        <w:rPr>
          <w:lang w:val="en-US"/>
        </w:rPr>
      </w:pPr>
      <w:r>
        <w:rPr>
          <w:lang w:val="en-US"/>
        </w:rPr>
        <w:t>Implementing partner: High Judicial and Prosecutorial Council of Bosnia and Herzegovina (HJPC)</w:t>
      </w:r>
    </w:p>
    <w:p w:rsidR="00F505A7" w:rsidRDefault="00F505A7" w:rsidP="00F505A7">
      <w:pPr>
        <w:spacing w:after="0" w:line="240" w:lineRule="auto"/>
        <w:rPr>
          <w:lang w:val="en-US"/>
        </w:rPr>
      </w:pPr>
    </w:p>
    <w:p w:rsidR="00996247" w:rsidRPr="00F4394F" w:rsidRDefault="00996247" w:rsidP="00996247">
      <w:pPr>
        <w:rPr>
          <w:b/>
          <w:bCs/>
          <w:lang w:val="en-US"/>
        </w:rPr>
      </w:pPr>
      <w:r w:rsidRPr="00F4394F">
        <w:rPr>
          <w:b/>
          <w:bCs/>
          <w:lang w:val="en-US"/>
        </w:rPr>
        <w:t>The challenges</w:t>
      </w:r>
    </w:p>
    <w:p w:rsidR="006763C6" w:rsidRDefault="00996247" w:rsidP="00996247">
      <w:pPr>
        <w:rPr>
          <w:lang w:val="en-US"/>
        </w:rPr>
      </w:pPr>
      <w:r>
        <w:rPr>
          <w:lang w:val="en-US"/>
        </w:rPr>
        <w:t xml:space="preserve">The judiciary in Bosnia and Herzegovina faces many challenges. This is partly due to the complicated administrative and legal </w:t>
      </w:r>
      <w:proofErr w:type="spellStart"/>
      <w:r>
        <w:rPr>
          <w:lang w:val="en-US"/>
        </w:rPr>
        <w:t>organisatio</w:t>
      </w:r>
      <w:r w:rsidR="006C13AE">
        <w:rPr>
          <w:lang w:val="en-US"/>
        </w:rPr>
        <w:t>n</w:t>
      </w:r>
      <w:proofErr w:type="spellEnd"/>
      <w:r w:rsidR="006C13AE">
        <w:rPr>
          <w:lang w:val="en-US"/>
        </w:rPr>
        <w:t xml:space="preserve"> of the country. </w:t>
      </w:r>
    </w:p>
    <w:p w:rsidR="008B33F6" w:rsidRDefault="00031CC8" w:rsidP="00996247">
      <w:pPr>
        <w:rPr>
          <w:lang w:val="en-US"/>
        </w:rPr>
      </w:pPr>
      <w:r>
        <w:rPr>
          <w:noProof/>
        </w:rPr>
        <w:drawing>
          <wp:anchor distT="0" distB="0" distL="114300" distR="114300" simplePos="0" relativeHeight="251658240" behindDoc="1" locked="0" layoutInCell="1" allowOverlap="1" wp14:anchorId="0FBB04CB" wp14:editId="14B3A821">
            <wp:simplePos x="0" y="0"/>
            <wp:positionH relativeFrom="margin">
              <wp:align>left</wp:align>
            </wp:positionH>
            <wp:positionV relativeFrom="paragraph">
              <wp:posOffset>193675</wp:posOffset>
            </wp:positionV>
            <wp:extent cx="3162300" cy="2371725"/>
            <wp:effectExtent l="0" t="0" r="0" b="9525"/>
            <wp:wrapTight wrapText="bothSides">
              <wp:wrapPolygon edited="0">
                <wp:start x="0" y="0"/>
                <wp:lineTo x="0" y="21513"/>
                <wp:lineTo x="21470" y="21513"/>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rica court 0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margin">
              <wp14:pctWidth>0</wp14:pctWidth>
            </wp14:sizeRelH>
            <wp14:sizeRelV relativeFrom="margin">
              <wp14:pctHeight>0</wp14:pctHeight>
            </wp14:sizeRelV>
          </wp:anchor>
        </w:drawing>
      </w:r>
      <w:r w:rsidR="00996247">
        <w:rPr>
          <w:lang w:val="en-US"/>
        </w:rPr>
        <w:t xml:space="preserve">Since the end of the 1990’s, Norway has supported projects to reform the judiciary in Bosnia and Herzegovina. Since the establishment of the High Judicial and Prosecutorial Council of Bosnia and Herzegovina (HJPC) in 2004, </w:t>
      </w:r>
      <w:r w:rsidR="003D36D6">
        <w:rPr>
          <w:lang w:val="en-US"/>
        </w:rPr>
        <w:t xml:space="preserve">a large part of </w:t>
      </w:r>
      <w:r w:rsidR="00996247">
        <w:rPr>
          <w:lang w:val="en-US"/>
        </w:rPr>
        <w:t xml:space="preserve">the funding </w:t>
      </w:r>
      <w:proofErr w:type="gramStart"/>
      <w:r w:rsidR="00996247">
        <w:rPr>
          <w:lang w:val="en-US"/>
        </w:rPr>
        <w:t>has been channeled</w:t>
      </w:r>
      <w:proofErr w:type="gramEnd"/>
      <w:r w:rsidR="00996247">
        <w:rPr>
          <w:lang w:val="en-US"/>
        </w:rPr>
        <w:t xml:space="preserve"> through this institution. The HJPC is an autonomous organ, which shall ensure an independent, impartial and professional judiciary. The HJPC is also responsible for providing a profes</w:t>
      </w:r>
      <w:r w:rsidR="008B33F6">
        <w:rPr>
          <w:lang w:val="en-US"/>
        </w:rPr>
        <w:t>s</w:t>
      </w:r>
      <w:r w:rsidR="006F2F10">
        <w:rPr>
          <w:lang w:val="en-US"/>
        </w:rPr>
        <w:t xml:space="preserve">ional and efficient court and prosecutorial </w:t>
      </w:r>
      <w:r w:rsidR="00996247">
        <w:rPr>
          <w:lang w:val="en-US"/>
        </w:rPr>
        <w:t xml:space="preserve">system. </w:t>
      </w:r>
    </w:p>
    <w:p w:rsidR="00F505A7" w:rsidRDefault="00F505A7" w:rsidP="00996247">
      <w:pPr>
        <w:rPr>
          <w:lang w:val="en-US"/>
        </w:rPr>
      </w:pPr>
    </w:p>
    <w:p w:rsidR="00996247" w:rsidRPr="008B33F6" w:rsidRDefault="00996247" w:rsidP="00996247">
      <w:pPr>
        <w:rPr>
          <w:lang w:val="en-US"/>
        </w:rPr>
      </w:pPr>
      <w:r w:rsidRPr="0016569B">
        <w:rPr>
          <w:b/>
          <w:bCs/>
          <w:lang w:val="en-US"/>
        </w:rPr>
        <w:t>Description of the project</w:t>
      </w:r>
    </w:p>
    <w:p w:rsidR="00996247" w:rsidRDefault="00031CC8" w:rsidP="00996247">
      <w:pPr>
        <w:rPr>
          <w:lang w:val="en-US"/>
        </w:rPr>
      </w:pPr>
      <w:r>
        <w:rPr>
          <w:noProof/>
        </w:rPr>
        <mc:AlternateContent>
          <mc:Choice Requires="wps">
            <w:drawing>
              <wp:anchor distT="0" distB="0" distL="114300" distR="114300" simplePos="0" relativeHeight="251660288" behindDoc="1" locked="0" layoutInCell="1" allowOverlap="1" wp14:anchorId="3649FAF6" wp14:editId="4F2D8802">
                <wp:simplePos x="0" y="0"/>
                <wp:positionH relativeFrom="margin">
                  <wp:align>left</wp:align>
                </wp:positionH>
                <wp:positionV relativeFrom="paragraph">
                  <wp:posOffset>80645</wp:posOffset>
                </wp:positionV>
                <wp:extent cx="3162300" cy="200025"/>
                <wp:effectExtent l="0" t="0" r="0" b="9525"/>
                <wp:wrapTight wrapText="bothSides">
                  <wp:wrapPolygon edited="0">
                    <wp:start x="0" y="0"/>
                    <wp:lineTo x="0" y="20571"/>
                    <wp:lineTo x="21470" y="20571"/>
                    <wp:lineTo x="2147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162300" cy="200025"/>
                        </a:xfrm>
                        <a:prstGeom prst="rect">
                          <a:avLst/>
                        </a:prstGeom>
                        <a:solidFill>
                          <a:prstClr val="white"/>
                        </a:solidFill>
                        <a:ln>
                          <a:noFill/>
                        </a:ln>
                        <a:effectLst/>
                      </wps:spPr>
                      <wps:txbx>
                        <w:txbxContent>
                          <w:p w:rsidR="00031CC8" w:rsidRPr="00031CC8" w:rsidRDefault="00031CC8" w:rsidP="00031CC8">
                            <w:pPr>
                              <w:pStyle w:val="Caption"/>
                              <w:rPr>
                                <w:noProof/>
                                <w:lang w:val="en-US"/>
                              </w:rPr>
                            </w:pPr>
                            <w:proofErr w:type="spellStart"/>
                            <w:r w:rsidRPr="00031CC8">
                              <w:rPr>
                                <w:lang w:val="en-US"/>
                              </w:rPr>
                              <w:t>Modrica</w:t>
                            </w:r>
                            <w:proofErr w:type="spellEnd"/>
                            <w:r w:rsidRPr="00031CC8">
                              <w:rPr>
                                <w:lang w:val="en-US"/>
                              </w:rPr>
                              <w:t xml:space="preserve"> Court.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9FAF6" id="_x0000_t202" coordsize="21600,21600" o:spt="202" path="m,l,21600r21600,l21600,xe">
                <v:stroke joinstyle="miter"/>
                <v:path gradientshapeok="t" o:connecttype="rect"/>
              </v:shapetype>
              <v:shape id="Text Box 3" o:spid="_x0000_s1026" type="#_x0000_t202" style="position:absolute;margin-left:0;margin-top:6.35pt;width:249pt;height:15.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" stroked="f">
                <v:textbox inset="0,0,0,0">
                  <w:txbxContent>
                    <w:p w:rsidR="00031CC8" w:rsidRPr="00031CC8" w:rsidRDefault="00031CC8" w:rsidP="00031CC8">
                      <w:pPr>
                        <w:pStyle w:val="Caption"/>
                        <w:rPr>
                          <w:noProof/>
                          <w:lang w:val="en-US"/>
                        </w:rPr>
                      </w:pPr>
                      <w:proofErr w:type="spellStart"/>
                      <w:r w:rsidRPr="00031CC8">
                        <w:rPr>
                          <w:lang w:val="en-US"/>
                        </w:rPr>
                        <w:t>Modrica</w:t>
                      </w:r>
                      <w:proofErr w:type="spellEnd"/>
                      <w:r w:rsidRPr="00031CC8">
                        <w:rPr>
                          <w:lang w:val="en-US"/>
                        </w:rPr>
                        <w:t xml:space="preserve"> Court.</w:t>
                      </w:r>
                    </w:p>
                  </w:txbxContent>
                </v:textbox>
                <w10:wrap type="tight" anchorx="margin"/>
              </v:shape>
            </w:pict>
          </mc:Fallback>
        </mc:AlternateContent>
      </w:r>
      <w:r w:rsidR="00FA5DFF">
        <w:rPr>
          <w:lang w:val="en-US"/>
        </w:rPr>
        <w:t xml:space="preserve">The project has three overall objectives: to improve the efficiency and quality of prosecutor’s work; to enhance management and coordination within the prosecutorial system; and to improve prosecutorial service delivery to citizens. </w:t>
      </w:r>
    </w:p>
    <w:p w:rsidR="00147336" w:rsidRDefault="00147336" w:rsidP="00996247">
      <w:pPr>
        <w:rPr>
          <w:lang w:val="en-US"/>
        </w:rPr>
      </w:pPr>
      <w:r>
        <w:rPr>
          <w:lang w:val="en-US"/>
        </w:rPr>
        <w:t xml:space="preserve">The project seeks to support the relevant national authorities – the HJPC, its’ Prosecutorial Strategic Body, and Chief Prosecutors, in driving forward a reform process within the prosecutorial system which will result in improved performance, efficiency and credibility. </w:t>
      </w:r>
    </w:p>
    <w:p w:rsidR="00F505A7" w:rsidRDefault="00996247" w:rsidP="00F505A7">
      <w:pPr>
        <w:spacing w:after="0"/>
        <w:rPr>
          <w:lang w:val="en-US"/>
        </w:rPr>
      </w:pPr>
      <w:r>
        <w:rPr>
          <w:lang w:val="en-US"/>
        </w:rPr>
        <w:t xml:space="preserve">More information about the HJPC: </w:t>
      </w:r>
      <w:hyperlink r:id="rId8" w:history="1">
        <w:r w:rsidRPr="00821D81">
          <w:rPr>
            <w:rStyle w:val="Hyperlink"/>
            <w:lang w:val="en-US"/>
          </w:rPr>
          <w:t>http://vsts.pravosudje.ba/</w:t>
        </w:r>
      </w:hyperlink>
      <w:r w:rsidR="00C071FB">
        <w:rPr>
          <w:rStyle w:val="Hyperlink"/>
          <w:lang w:val="en-US"/>
        </w:rPr>
        <w:br/>
      </w:r>
    </w:p>
    <w:p w:rsidR="00F505A7" w:rsidRPr="00F505A7" w:rsidRDefault="00F505A7">
      <w:pPr>
        <w:rPr>
          <w:lang w:val="en-US"/>
        </w:rPr>
      </w:pPr>
    </w:p>
    <w:sectPr w:rsidR="00F505A7" w:rsidRPr="00F505A7" w:rsidSect="00F505A7">
      <w:headerReference w:type="default" r:id="rId9"/>
      <w:pgSz w:w="11906" w:h="16838"/>
      <w:pgMar w:top="1276"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691" w:rsidRDefault="00493691" w:rsidP="00C975D8">
      <w:pPr>
        <w:spacing w:after="0" w:line="240" w:lineRule="auto"/>
      </w:pPr>
      <w:r>
        <w:separator/>
      </w:r>
    </w:p>
  </w:endnote>
  <w:endnote w:type="continuationSeparator" w:id="0">
    <w:p w:rsidR="00493691" w:rsidRDefault="00493691" w:rsidP="00C9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altName w:val="Times New Roman"/>
    <w:charset w:val="00"/>
    <w:family w:val="swiss"/>
    <w:pitch w:val="variable"/>
    <w:sig w:usb0="00000003" w:usb1="00000000" w:usb2="000004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91" w:rsidRDefault="00493691" w:rsidP="00C975D8">
      <w:pPr>
        <w:spacing w:after="0" w:line="240" w:lineRule="auto"/>
      </w:pPr>
      <w:r>
        <w:separator/>
      </w:r>
    </w:p>
  </w:footnote>
  <w:footnote w:type="continuationSeparator" w:id="0">
    <w:p w:rsidR="00493691" w:rsidRDefault="00493691" w:rsidP="00C97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D8" w:rsidRPr="00916571" w:rsidRDefault="00C975D8" w:rsidP="00C975D8">
    <w:pPr>
      <w:pStyle w:val="Header"/>
      <w:tabs>
        <w:tab w:val="left" w:pos="8865"/>
      </w:tabs>
      <w:ind w:left="7788"/>
      <w:rPr>
        <w:b/>
        <w:bCs/>
      </w:rPr>
    </w:pPr>
    <w:r>
      <w:rPr>
        <w:noProof/>
      </w:rPr>
      <w:drawing>
        <wp:anchor distT="0" distB="0" distL="114300" distR="114300" simplePos="0" relativeHeight="251658240" behindDoc="0" locked="0" layoutInCell="1" allowOverlap="1" wp14:anchorId="6EEC7515" wp14:editId="00548AAA">
          <wp:simplePos x="0" y="0"/>
          <wp:positionH relativeFrom="margin">
            <wp:align>left</wp:align>
          </wp:positionH>
          <wp:positionV relativeFrom="paragraph">
            <wp:posOffset>168910</wp:posOffset>
          </wp:positionV>
          <wp:extent cx="1475105" cy="7715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logo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105" cy="771525"/>
                  </a:xfrm>
                  <a:prstGeom prst="rect">
                    <a:avLst/>
                  </a:prstGeom>
                </pic:spPr>
              </pic:pic>
            </a:graphicData>
          </a:graphic>
        </wp:anchor>
      </w:drawing>
    </w:r>
    <w:r>
      <w:tab/>
    </w:r>
    <w:r w:rsidRPr="00916571">
      <w:rPr>
        <w:b/>
        <w:bCs/>
      </w:rPr>
      <w:t xml:space="preserve">                                                                                                                                    </w:t>
    </w:r>
    <w:r>
      <w:rPr>
        <w:b/>
        <w:bCs/>
      </w:rPr>
      <w:t xml:space="preserve">                            FACT SHEET</w:t>
    </w:r>
    <w:r w:rsidRPr="00916571">
      <w:rPr>
        <w:b/>
        <w:bCs/>
      </w:rPr>
      <w:t xml:space="preserve">     </w:t>
    </w:r>
  </w:p>
  <w:p w:rsidR="00C975D8" w:rsidRPr="00F9696D" w:rsidRDefault="00C975D8" w:rsidP="00C975D8">
    <w:pPr>
      <w:pStyle w:val="Header"/>
      <w:tabs>
        <w:tab w:val="left" w:pos="8865"/>
      </w:tabs>
    </w:pPr>
    <w:r>
      <w:tab/>
    </w:r>
    <w:r>
      <w:tab/>
    </w:r>
    <w:r>
      <w:tab/>
      <w:t xml:space="preserve"> </w:t>
    </w:r>
  </w:p>
  <w:p w:rsidR="00C975D8" w:rsidRDefault="00C97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6126C"/>
    <w:multiLevelType w:val="hybridMultilevel"/>
    <w:tmpl w:val="0D8063DA"/>
    <w:lvl w:ilvl="0" w:tplc="9EB62EDC">
      <w:numFmt w:val="bullet"/>
      <w:lvlText w:val="-"/>
      <w:lvlJc w:val="left"/>
      <w:pPr>
        <w:ind w:left="720" w:hanging="360"/>
      </w:pPr>
      <w:rPr>
        <w:rFonts w:ascii="Calibri" w:eastAsiaTheme="minorEastAsia" w:hAnsi="Calibri"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5A852B5"/>
    <w:multiLevelType w:val="hybridMultilevel"/>
    <w:tmpl w:val="CF50E1DA"/>
    <w:lvl w:ilvl="0" w:tplc="241CA19E">
      <w:numFmt w:val="bullet"/>
      <w:lvlText w:val="-"/>
      <w:lvlJc w:val="left"/>
      <w:pPr>
        <w:ind w:left="720" w:hanging="360"/>
      </w:pPr>
      <w:rPr>
        <w:rFonts w:ascii="Calibri" w:eastAsiaTheme="minorEastAsia" w:hAnsi="Calibri"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47"/>
    <w:rsid w:val="00031CC8"/>
    <w:rsid w:val="000E48AA"/>
    <w:rsid w:val="000E62D7"/>
    <w:rsid w:val="000E7CDF"/>
    <w:rsid w:val="0013404E"/>
    <w:rsid w:val="00147336"/>
    <w:rsid w:val="001F3F59"/>
    <w:rsid w:val="0027171F"/>
    <w:rsid w:val="003C04B4"/>
    <w:rsid w:val="003C0A64"/>
    <w:rsid w:val="003D36D6"/>
    <w:rsid w:val="00493691"/>
    <w:rsid w:val="004950BA"/>
    <w:rsid w:val="004A1ED7"/>
    <w:rsid w:val="00527904"/>
    <w:rsid w:val="0056301D"/>
    <w:rsid w:val="00590924"/>
    <w:rsid w:val="00600761"/>
    <w:rsid w:val="006763C6"/>
    <w:rsid w:val="006C13AE"/>
    <w:rsid w:val="006F2F10"/>
    <w:rsid w:val="006F6DC2"/>
    <w:rsid w:val="007979AE"/>
    <w:rsid w:val="007C303E"/>
    <w:rsid w:val="007C3B6B"/>
    <w:rsid w:val="008A620E"/>
    <w:rsid w:val="008B33F6"/>
    <w:rsid w:val="00991F09"/>
    <w:rsid w:val="00996247"/>
    <w:rsid w:val="00A73154"/>
    <w:rsid w:val="00B104F8"/>
    <w:rsid w:val="00C071FB"/>
    <w:rsid w:val="00C8432D"/>
    <w:rsid w:val="00C975D8"/>
    <w:rsid w:val="00EF690C"/>
    <w:rsid w:val="00F505A7"/>
    <w:rsid w:val="00FA5DFF"/>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719A64-88F2-4558-9CEF-036C9B65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247"/>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247"/>
    <w:rPr>
      <w:color w:val="0563C1" w:themeColor="hyperlink"/>
      <w:u w:val="single"/>
    </w:rPr>
  </w:style>
  <w:style w:type="paragraph" w:styleId="ListParagraph">
    <w:name w:val="List Paragraph"/>
    <w:basedOn w:val="Normal"/>
    <w:uiPriority w:val="34"/>
    <w:qFormat/>
    <w:rsid w:val="00996247"/>
    <w:pPr>
      <w:ind w:left="720"/>
      <w:contextualSpacing/>
    </w:pPr>
  </w:style>
  <w:style w:type="paragraph" w:styleId="Caption">
    <w:name w:val="caption"/>
    <w:basedOn w:val="Normal"/>
    <w:next w:val="Normal"/>
    <w:uiPriority w:val="35"/>
    <w:unhideWhenUsed/>
    <w:qFormat/>
    <w:rsid w:val="00031CC8"/>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B3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3F6"/>
    <w:rPr>
      <w:rFonts w:ascii="Segoe UI" w:hAnsi="Segoe UI" w:cs="Segoe UI"/>
      <w:sz w:val="18"/>
      <w:szCs w:val="18"/>
    </w:rPr>
  </w:style>
  <w:style w:type="paragraph" w:styleId="Header">
    <w:name w:val="header"/>
    <w:basedOn w:val="Normal"/>
    <w:link w:val="HeaderChar"/>
    <w:uiPriority w:val="99"/>
    <w:unhideWhenUsed/>
    <w:rsid w:val="00C975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75D8"/>
    <w:rPr>
      <w:rFonts w:cs="Arial Unicode MS"/>
    </w:rPr>
  </w:style>
  <w:style w:type="paragraph" w:styleId="Footer">
    <w:name w:val="footer"/>
    <w:basedOn w:val="Normal"/>
    <w:link w:val="FooterChar"/>
    <w:uiPriority w:val="99"/>
    <w:unhideWhenUsed/>
    <w:rsid w:val="00C975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75D8"/>
    <w:rPr>
      <w:rFonts w:cs="Arial Unicode MS"/>
    </w:rPr>
  </w:style>
  <w:style w:type="character" w:styleId="Strong">
    <w:name w:val="Strong"/>
    <w:basedOn w:val="DefaultParagraphFont"/>
    <w:uiPriority w:val="22"/>
    <w:qFormat/>
    <w:rsid w:val="00147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1556">
      <w:bodyDiv w:val="1"/>
      <w:marLeft w:val="0"/>
      <w:marRight w:val="0"/>
      <w:marTop w:val="0"/>
      <w:marBottom w:val="0"/>
      <w:divBdr>
        <w:top w:val="none" w:sz="0" w:space="0" w:color="auto"/>
        <w:left w:val="none" w:sz="0" w:space="0" w:color="auto"/>
        <w:bottom w:val="none" w:sz="0" w:space="0" w:color="auto"/>
        <w:right w:val="none" w:sz="0" w:space="0" w:color="auto"/>
      </w:divBdr>
    </w:div>
    <w:div w:id="19973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ts.pravosudje.b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266</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Borgvad</dc:creator>
  <cp:lastModifiedBy>Nordmo, Mari Timenes</cp:lastModifiedBy>
  <cp:revision>6</cp:revision>
  <cp:lastPrinted>2015-08-13T10:00:00Z</cp:lastPrinted>
  <dcterms:created xsi:type="dcterms:W3CDTF">2015-09-14T07:49:00Z</dcterms:created>
  <dcterms:modified xsi:type="dcterms:W3CDTF">2015-09-15T08:01:00Z</dcterms:modified>
</cp:coreProperties>
</file>